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Ansi="方正小标宋_GBK" w:cs="方正小标宋_GBK"/>
          <w:color w:val="auto"/>
        </w:rPr>
      </w:pPr>
      <w:r>
        <w:rPr>
          <w:rFonts w:hint="eastAsia" w:hAnsi="方正小标宋_GBK" w:cs="方正小标宋_GBK"/>
          <w:color w:val="auto"/>
          <w:lang w:eastAsia="zh-CN"/>
        </w:rPr>
        <w:t>重庆市</w:t>
      </w:r>
      <w:r>
        <w:rPr>
          <w:rFonts w:hint="eastAsia" w:hAnsi="方正小标宋_GBK" w:cs="方正小标宋_GBK"/>
          <w:color w:val="auto"/>
        </w:rPr>
        <w:t>江津区中心医院</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hAnsi="方正小标宋_GBK" w:eastAsia="方正小标宋_GBK" w:cs="方正小标宋_GBK"/>
          <w:color w:val="auto"/>
          <w:lang w:val="en-US" w:eastAsia="zh-CN"/>
        </w:rPr>
      </w:pPr>
      <w:r>
        <w:rPr>
          <w:rFonts w:hint="eastAsia" w:hAnsi="方正小标宋_GBK" w:cs="方正小标宋_GBK"/>
          <w:color w:val="auto"/>
          <w:lang w:val="en-US" w:eastAsia="zh-CN"/>
        </w:rPr>
        <w:t>全营养素即冲粉采购及配送项目</w:t>
      </w:r>
    </w:p>
    <w:p>
      <w:pPr>
        <w:keepNext w:val="0"/>
        <w:keepLines w:val="0"/>
        <w:pageBreakBefore w:val="0"/>
        <w:widowControl w:val="0"/>
        <w:tabs>
          <w:tab w:val="left" w:pos="2448"/>
        </w:tabs>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各投标人：</w:t>
      </w:r>
    </w:p>
    <w:p>
      <w:pPr>
        <w:pStyle w:val="8"/>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color w:val="auto"/>
          <w:sz w:val="32"/>
          <w:szCs w:val="32"/>
        </w:rPr>
        <w:t>江津区中心医院</w:t>
      </w:r>
      <w:r>
        <w:rPr>
          <w:rFonts w:hint="eastAsia" w:ascii="方正仿宋_GBK" w:hAnsi="方正仿宋_GBK" w:eastAsia="方正仿宋_GBK" w:cs="方正仿宋_GBK"/>
          <w:color w:val="auto"/>
          <w:sz w:val="32"/>
          <w:szCs w:val="32"/>
          <w:lang w:val="en-US" w:eastAsia="zh-CN"/>
        </w:rPr>
        <w:t>全营养素即冲粉采购及配送项目</w:t>
      </w:r>
      <w:r>
        <w:rPr>
          <w:rFonts w:hint="eastAsia" w:ascii="方正仿宋_GBK" w:hAnsi="方正仿宋_GBK" w:eastAsia="方正仿宋_GBK" w:cs="方正仿宋_GBK"/>
          <w:sz w:val="32"/>
          <w:szCs w:val="32"/>
        </w:rPr>
        <w:t>，欢迎有资质有能力有信誉的单位参与投标。</w:t>
      </w:r>
    </w:p>
    <w:p>
      <w:pPr>
        <w:keepNext w:val="0"/>
        <w:keepLines w:val="0"/>
        <w:pageBreakBefore w:val="0"/>
        <w:widowControl w:val="0"/>
        <w:numPr>
          <w:ilvl w:val="0"/>
          <w:numId w:val="1"/>
        </w:numPr>
        <w:tabs>
          <w:tab w:val="center" w:pos="5290"/>
        </w:tabs>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bookmarkStart w:id="0" w:name="_Toc362451498"/>
      <w:bookmarkStart w:id="1" w:name="_Toc276213404"/>
      <w:r>
        <w:rPr>
          <w:rFonts w:hint="eastAsia" w:ascii="方正黑体_GBK" w:hAnsi="方正黑体_GBK" w:eastAsia="方正黑体_GBK" w:cs="方正黑体_GBK"/>
          <w:color w:val="000000" w:themeColor="text1"/>
          <w:sz w:val="32"/>
          <w:szCs w:val="32"/>
          <w14:textFill>
            <w14:solidFill>
              <w14:schemeClr w14:val="tx1"/>
            </w14:solidFill>
          </w14:textFill>
        </w:rPr>
        <w:t>采购内容</w:t>
      </w:r>
      <w:bookmarkEnd w:id="0"/>
      <w:bookmarkEnd w:id="1"/>
    </w:p>
    <w:tbl>
      <w:tblPr>
        <w:tblStyle w:val="10"/>
        <w:tblW w:w="882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575"/>
        <w:gridCol w:w="1875"/>
        <w:gridCol w:w="186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项目名称</w:t>
            </w:r>
          </w:p>
        </w:tc>
        <w:tc>
          <w:tcPr>
            <w:tcW w:w="1575"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服务期</w:t>
            </w:r>
          </w:p>
        </w:tc>
        <w:tc>
          <w:tcPr>
            <w:tcW w:w="187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预算总金额</w:t>
            </w:r>
          </w:p>
        </w:tc>
        <w:tc>
          <w:tcPr>
            <w:tcW w:w="186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投标保证金</w:t>
            </w:r>
          </w:p>
        </w:tc>
        <w:tc>
          <w:tcPr>
            <w:tcW w:w="183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全营养素即冲粉</w:t>
            </w:r>
          </w:p>
        </w:tc>
        <w:tc>
          <w:tcPr>
            <w:tcW w:w="1575" w:type="dxa"/>
            <w:vAlign w:val="top"/>
          </w:tcPr>
          <w:p>
            <w:pPr>
              <w:keepNext w:val="0"/>
              <w:keepLines w:val="0"/>
              <w:pageBreakBefore w:val="0"/>
              <w:widowControl w:val="0"/>
              <w:kinsoku/>
              <w:wordWrap/>
              <w:overflowPunct/>
              <w:topLinePunct w:val="0"/>
              <w:autoSpaceDE/>
              <w:autoSpaceDN/>
              <w:bidi w:val="0"/>
              <w:adjustRightInd/>
              <w:snapToGrid/>
              <w:spacing w:before="251" w:beforeLines="80" w:line="520" w:lineRule="exact"/>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lang w:val="en-US" w:eastAsia="zh-CN"/>
              </w:rPr>
              <w:t>暂定3年</w:t>
            </w:r>
          </w:p>
        </w:tc>
        <w:tc>
          <w:tcPr>
            <w:tcW w:w="1875" w:type="dxa"/>
            <w:vAlign w:val="top"/>
          </w:tcPr>
          <w:p>
            <w:pPr>
              <w:keepNext w:val="0"/>
              <w:keepLines w:val="0"/>
              <w:pageBreakBefore w:val="0"/>
              <w:widowControl w:val="0"/>
              <w:kinsoku/>
              <w:wordWrap/>
              <w:overflowPunct/>
              <w:topLinePunct w:val="0"/>
              <w:autoSpaceDE/>
              <w:autoSpaceDN/>
              <w:bidi w:val="0"/>
              <w:adjustRightInd/>
              <w:snapToGrid/>
              <w:spacing w:before="251" w:beforeLines="80" w:line="520" w:lineRule="exact"/>
              <w:jc w:val="center"/>
              <w:textAlignment w:val="auto"/>
              <w:rPr>
                <w:rFonts w:hint="default"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lang w:val="en-US" w:eastAsia="zh-CN"/>
              </w:rPr>
              <w:t>33000元</w:t>
            </w:r>
          </w:p>
        </w:tc>
        <w:tc>
          <w:tcPr>
            <w:tcW w:w="1860" w:type="dxa"/>
            <w:vAlign w:val="top"/>
          </w:tcPr>
          <w:p>
            <w:pPr>
              <w:keepNext w:val="0"/>
              <w:keepLines w:val="0"/>
              <w:pageBreakBefore w:val="0"/>
              <w:widowControl w:val="0"/>
              <w:kinsoku/>
              <w:wordWrap/>
              <w:overflowPunct/>
              <w:topLinePunct w:val="0"/>
              <w:autoSpaceDE/>
              <w:autoSpaceDN/>
              <w:bidi w:val="0"/>
              <w:adjustRightInd/>
              <w:snapToGrid/>
              <w:spacing w:before="251" w:beforeLines="80" w:line="520" w:lineRule="exact"/>
              <w:jc w:val="center"/>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lang w:val="en-US" w:eastAsia="zh-CN"/>
              </w:rPr>
              <w:t>600元</w:t>
            </w:r>
          </w:p>
        </w:tc>
        <w:tc>
          <w:tcPr>
            <w:tcW w:w="1830" w:type="dxa"/>
            <w:vAlign w:val="top"/>
          </w:tcPr>
          <w:p>
            <w:pPr>
              <w:keepNext w:val="0"/>
              <w:keepLines w:val="0"/>
              <w:pageBreakBefore w:val="0"/>
              <w:widowControl w:val="0"/>
              <w:kinsoku/>
              <w:wordWrap/>
              <w:overflowPunct/>
              <w:topLinePunct w:val="0"/>
              <w:autoSpaceDE/>
              <w:autoSpaceDN/>
              <w:bidi w:val="0"/>
              <w:adjustRightInd/>
              <w:snapToGrid/>
              <w:spacing w:before="251" w:beforeLines="80" w:line="520" w:lineRule="exact"/>
              <w:jc w:val="center"/>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lang w:val="en-US" w:eastAsia="zh-CN"/>
              </w:rPr>
              <w:t>3000元</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2"/>
          <w:szCs w:val="32"/>
          <w:lang w:val="en-US" w:eastAsia="zh-CN"/>
        </w:rPr>
        <w:t>注：1、自筹资金，折扣起点为99%</w:t>
      </w:r>
      <w:r>
        <w:rPr>
          <w:rFonts w:hint="eastAsia" w:ascii="方正仿宋_GBK" w:hAnsi="方正仿宋_GBK" w:eastAsia="方正仿宋_GBK" w:cs="方正仿宋_GBK"/>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sz w:val="32"/>
          <w:szCs w:val="32"/>
          <w:lang w:val="en-US" w:eastAsia="zh-CN"/>
        </w:rPr>
        <w:t>2、分零采购，采购清单附后。</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二、投标保证金交纳有效期：</w:t>
      </w:r>
      <w:r>
        <w:rPr>
          <w:rFonts w:hint="eastAsia" w:ascii="方正仿宋_GBK" w:hAnsi="方正仿宋_GBK" w:eastAsia="方正仿宋_GBK" w:cs="方正仿宋_GBK"/>
          <w:color w:val="000000" w:themeColor="text1"/>
          <w:sz w:val="32"/>
          <w:szCs w:val="32"/>
          <w14:textFill>
            <w14:solidFill>
              <w14:schemeClr w14:val="tx1"/>
            </w14:solidFill>
          </w14:textFill>
        </w:rPr>
        <w:t>2022年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28</w:t>
      </w:r>
      <w:r>
        <w:rPr>
          <w:rFonts w:hint="eastAsia" w:ascii="方正仿宋_GBK" w:hAnsi="方正仿宋_GBK" w:eastAsia="方正仿宋_GBK" w:cs="方正仿宋_GBK"/>
          <w:color w:val="000000" w:themeColor="text1"/>
          <w:sz w:val="32"/>
          <w:szCs w:val="32"/>
          <w14:textFill>
            <w14:solidFill>
              <w14:schemeClr w14:val="tx1"/>
            </w14:solidFill>
          </w14:textFill>
        </w:rPr>
        <w:t>日18:00前。</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三、开标时间：</w:t>
      </w:r>
      <w:r>
        <w:rPr>
          <w:rFonts w:hint="eastAsia" w:ascii="方正仿宋_GBK" w:hAnsi="方正仿宋_GBK" w:eastAsia="方正仿宋_GBK" w:cs="方正仿宋_GBK"/>
          <w:color w:val="000000" w:themeColor="text1"/>
          <w:sz w:val="32"/>
          <w:szCs w:val="32"/>
          <w14:textFill>
            <w14:solidFill>
              <w14:schemeClr w14:val="tx1"/>
            </w14:solidFill>
          </w14:textFill>
        </w:rPr>
        <w:t>2022年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32"/>
          <w:szCs w:val="32"/>
          <w14:textFill>
            <w14:solidFill>
              <w14:schemeClr w14:val="tx1"/>
            </w14:solidFill>
          </w14:textFill>
        </w:rPr>
        <w:t>日10:00。</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四</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、投标须知</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（一）投标人资格</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若投标人为经销商，应具有《食品经营许可证》；若投标人为生产厂家，则应具有《食品生产许可证》（提供证件复印件加盖公章）</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投标文件组成</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第一部分：经济文件</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投标报价表</w:t>
      </w:r>
      <w:r>
        <w:rPr>
          <w:rFonts w:hint="eastAsia" w:ascii="方正仿宋_GBK" w:hAnsi="方正仿宋_GBK" w:eastAsia="方正仿宋_GBK" w:cs="方正仿宋_GBK"/>
          <w:sz w:val="32"/>
          <w:szCs w:val="32"/>
        </w:rPr>
        <w:t>（格式见附件，不能手写），必须盖单位鲜章，禁止恶意报价，如经发现取消投标资格。</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第二部分：商务和技术文件</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1、有效的营业执照、税务登记证、组织机构代码证。三证合一只提供营业执照（复印件加盖鲜章）。</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2、法定代表人身份证明（格式附后），法定代表人委托他人参加者，还应提交法定代表人授权委托书（格式附后）。</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3、投标人特定资质证明。</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4、招标文件技术参数响应文件（格式自定）。</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售后服务承诺内容</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含送货时间</w:t>
      </w:r>
      <w:r>
        <w:rPr>
          <w:rFonts w:hint="eastAsia" w:ascii="方正仿宋_GBK" w:hAnsi="方正仿宋_GBK" w:eastAsia="方正仿宋_GBK" w:cs="方正仿宋_GBK"/>
          <w:color w:val="000000" w:themeColor="text1"/>
          <w:sz w:val="32"/>
          <w:szCs w:val="32"/>
          <w14:textFill>
            <w14:solidFill>
              <w14:schemeClr w14:val="tx1"/>
            </w14:solidFill>
          </w14:textFill>
        </w:rPr>
        <w:t>（内容自定）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pacing w:line="500" w:lineRule="exact"/>
        <w:ind w:left="0" w:leftChars="0" w:firstLine="640" w:firstLineChars="200"/>
        <w:textAlignment w:val="auto"/>
        <w:rPr>
          <w:rFonts w:hint="eastAsia" w:eastAsia="宋体"/>
          <w:lang w:val="en-US" w:eastAsia="zh-CN"/>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6、投标</w:t>
      </w:r>
      <w:r>
        <w:rPr>
          <w:rFonts w:hint="eastAsia" w:ascii="方正仿宋_GBK" w:hAnsi="方正仿宋_GBK" w:eastAsia="方正仿宋_GBK" w:cs="方正仿宋_GBK"/>
          <w:sz w:val="32"/>
          <w:szCs w:val="32"/>
        </w:rPr>
        <w:t>人认为应当提供的其他材料。</w:t>
      </w:r>
    </w:p>
    <w:p>
      <w:pPr>
        <w:spacing w:line="52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（三）投标文件的装订</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1、投标文件第一部分和第二部分装订为一册，必须编页码和目录，用A4纸打印并逐页盖章。</w:t>
      </w:r>
    </w:p>
    <w:p>
      <w:pPr>
        <w:spacing w:line="520" w:lineRule="exact"/>
        <w:ind w:firstLine="64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2、投标文件要密封。密封面注明</w:t>
      </w:r>
      <w:r>
        <w:rPr>
          <w:rFonts w:hint="eastAsia" w:ascii="方正仿宋_GBK" w:hAnsi="方正仿宋_GBK" w:eastAsia="方正仿宋_GBK" w:cs="方正仿宋_GBK"/>
          <w:b/>
          <w:bCs/>
          <w:color w:val="000000" w:themeColor="text1"/>
          <w:sz w:val="32"/>
          <w:szCs w:val="32"/>
          <w14:textFill>
            <w14:solidFill>
              <w14:schemeClr w14:val="tx1"/>
            </w14:solidFill>
          </w14:textFill>
        </w:rPr>
        <w:t>项目名称、投标单位</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14:textFill>
            <w14:solidFill>
              <w14:schemeClr w14:val="tx1"/>
            </w14:solidFill>
          </w14:textFill>
        </w:rPr>
        <w:t>密封处加盖公章</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（四）有关要求</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1、各投标人只对本项目作唯一报价。</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2、有以下情形之一的，按无效标处理：</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（1）投标报价超出采购最高限价的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（2）投标文件组成内容不齐的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（3）投标文件未装订成册且未按要求加盖公章的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（4）报价不完整或出现二个及以上报价的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（5）投标文件不能完全满足项目实质性要求的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3、超过规定时间送达或未按要求密封的投标文件不予受理。</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4、投标文件一经收取不予退还，所产生费用由投标人自行负责。</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5、投标</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rPr>
        <w:t>投标时不可改动报价清单内容，所供商品必须满足招标单位要求。</w:t>
      </w:r>
    </w:p>
    <w:p>
      <w:pPr>
        <w:keepNext w:val="0"/>
        <w:keepLines w:val="0"/>
        <w:pageBreakBefore w:val="0"/>
        <w:widowControl w:val="0"/>
        <w:kinsoku/>
        <w:wordWrap/>
        <w:overflowPunct/>
        <w:topLinePunct w:val="0"/>
        <w:autoSpaceDE/>
        <w:autoSpaceDN/>
        <w:bidi w:val="0"/>
        <w:adjustRightInd/>
        <w:spacing w:line="500" w:lineRule="exact"/>
        <w:ind w:firstLine="640" w:firstLineChars="200"/>
        <w:jc w:val="left"/>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sz w:val="32"/>
          <w:szCs w:val="32"/>
        </w:rPr>
        <w:t>报价包含但不限于货物费、运输费、搬运费、退换货产生费用、保险、税务等一切费用。</w:t>
      </w:r>
      <w:r>
        <w:rPr>
          <w:rFonts w:hint="eastAsia" w:ascii="方正仿宋_GBK" w:hAnsi="方正仿宋_GBK" w:eastAsia="方正仿宋_GBK" w:cs="方正仿宋_GBK"/>
          <w:sz w:val="32"/>
          <w:szCs w:val="32"/>
          <w:lang w:val="en-US" w:eastAsia="zh-CN"/>
        </w:rPr>
        <w:t>因投标人自身原因造成漏报、少报皆由其自行承担责任，采购人不再补偿。</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、投标人需在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28</w:t>
      </w:r>
      <w:bookmarkStart w:id="2" w:name="_GoBack"/>
      <w:bookmarkEnd w:id="2"/>
      <w:r>
        <w:rPr>
          <w:rFonts w:hint="eastAsia" w:ascii="方正仿宋_GBK" w:hAnsi="方正仿宋_GBK" w:eastAsia="方正仿宋_GBK" w:cs="方正仿宋_GBK"/>
          <w:color w:val="000000" w:themeColor="text1"/>
          <w:sz w:val="32"/>
          <w:szCs w:val="32"/>
          <w14:textFill>
            <w14:solidFill>
              <w14:schemeClr w14:val="tx1"/>
            </w14:solidFill>
          </w14:textFill>
        </w:rPr>
        <w:t>日下午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点前交纳投标保证金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，招标结束后</w:t>
      </w:r>
      <w:r>
        <w:rPr>
          <w:rFonts w:hint="eastAsia" w:ascii="方正仿宋_GBK" w:hAnsi="方正仿宋_GBK" w:eastAsia="方正仿宋_GBK" w:cs="方正仿宋_GBK"/>
          <w:color w:val="000000" w:themeColor="text1"/>
          <w:sz w:val="32"/>
          <w:szCs w:val="32"/>
          <w14:textFill>
            <w14:solidFill>
              <w14:schemeClr w14:val="tx1"/>
            </w14:solidFill>
          </w14:textFill>
        </w:rPr>
        <w:t>30日内退还</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中标人在合同签订前交纳履约保证金</w:t>
      </w:r>
      <w:r>
        <w:rPr>
          <w:rFonts w:hint="eastAsia" w:ascii="方正仿宋_GBK" w:hAnsi="方正仿宋_GBK" w:eastAsia="方正仿宋_GBK" w:cs="方正仿宋_GBK"/>
          <w:b w:val="0"/>
          <w:bCs w:val="0"/>
          <w:sz w:val="32"/>
          <w:szCs w:val="32"/>
        </w:rPr>
        <w:t>，直到</w:t>
      </w:r>
      <w:r>
        <w:rPr>
          <w:rFonts w:hint="eastAsia" w:ascii="方正仿宋_GBK" w:hAnsi="方正仿宋_GBK" w:eastAsia="方正仿宋_GBK" w:cs="方正仿宋_GBK"/>
          <w:b w:val="0"/>
          <w:bCs w:val="0"/>
          <w:sz w:val="32"/>
          <w:szCs w:val="32"/>
          <w:lang w:eastAsia="zh-CN"/>
        </w:rPr>
        <w:t>终止供货后</w:t>
      </w:r>
      <w:r>
        <w:rPr>
          <w:rFonts w:hint="eastAsia" w:ascii="方正仿宋_GBK" w:hAnsi="方正仿宋_GBK" w:eastAsia="方正仿宋_GBK" w:cs="方正仿宋_GBK"/>
          <w:b w:val="0"/>
          <w:bCs w:val="0"/>
          <w:sz w:val="32"/>
          <w:szCs w:val="32"/>
        </w:rPr>
        <w:t>无息退还</w:t>
      </w:r>
      <w:r>
        <w:rPr>
          <w:rFonts w:hint="eastAsia" w:ascii="方正仿宋_GBK" w:hAnsi="方正仿宋_GBK" w:eastAsia="方正仿宋_GBK" w:cs="方正仿宋_GBK"/>
          <w:color w:val="000000" w:themeColor="text1"/>
          <w:sz w:val="32"/>
          <w:szCs w:val="32"/>
          <w14:textFill>
            <w14:solidFill>
              <w14:schemeClr w14:val="tx1"/>
            </w14:solidFill>
          </w14:textFill>
        </w:rPr>
        <w:t>。保证金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均按要求</w:t>
      </w:r>
      <w:r>
        <w:rPr>
          <w:rFonts w:hint="eastAsia" w:ascii="方正仿宋_GBK" w:hAnsi="方正仿宋_GBK" w:eastAsia="方正仿宋_GBK" w:cs="方正仿宋_GBK"/>
          <w:color w:val="000000" w:themeColor="text1"/>
          <w:sz w:val="32"/>
          <w:szCs w:val="32"/>
          <w14:textFill>
            <w14:solidFill>
              <w14:schemeClr w14:val="tx1"/>
            </w14:solidFill>
          </w14:textFill>
        </w:rPr>
        <w:t>转入重庆市江津区中心医院</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账号：1569010120010004924</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开户银行：重庆农村商业银行江津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分</w:t>
      </w:r>
      <w:r>
        <w:rPr>
          <w:rFonts w:hint="eastAsia" w:ascii="方正仿宋_GBK" w:hAnsi="方正仿宋_GBK" w:eastAsia="方正仿宋_GBK" w:cs="方正仿宋_GBK"/>
          <w:color w:val="000000" w:themeColor="text1"/>
          <w:sz w:val="32"/>
          <w:szCs w:val="32"/>
          <w14:textFill>
            <w14:solidFill>
              <w14:schemeClr w14:val="tx1"/>
            </w14:solidFill>
          </w14:textFill>
        </w:rPr>
        <w:t>行。</w:t>
      </w:r>
    </w:p>
    <w:p>
      <w:pPr>
        <w:pStyle w:val="2"/>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FF0000"/>
          <w:sz w:val="32"/>
          <w:szCs w:val="32"/>
          <w:lang w:val="en-US" w:eastAsia="zh-CN"/>
        </w:rPr>
        <w:t>8</w:t>
      </w:r>
      <w:r>
        <w:rPr>
          <w:rFonts w:hint="eastAsia" w:ascii="方正仿宋_GBK" w:hAnsi="方正仿宋_GBK" w:eastAsia="方正仿宋_GBK" w:cs="方正仿宋_GBK"/>
          <w:color w:val="FF0000"/>
          <w:sz w:val="32"/>
          <w:szCs w:val="32"/>
        </w:rPr>
        <w:t>、投标保证金非对公账户转账且未注明所投项目名称及逾期缴纳投标保证金的投标文件不予受理。</w:t>
      </w:r>
    </w:p>
    <w:p>
      <w:pPr>
        <w:pStyle w:val="2"/>
        <w:spacing w:line="520" w:lineRule="exact"/>
        <w:ind w:left="0" w:leftChars="0" w:firstLine="640" w:firstLineChars="200"/>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9、中标人在签订合同前提供资质审查原件，经审核合格后再予签订采购合同，若发现中标人弄虚作假将取消其中标资格并扣除全部投标保证金。</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五、中标人确定办法</w:t>
      </w:r>
    </w:p>
    <w:p>
      <w:pPr>
        <w:snapToGrid w:val="0"/>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（一）本项目采用最低评标价法进行评标（</w:t>
      </w:r>
      <w:r>
        <w:rPr>
          <w:rFonts w:hint="eastAsia" w:ascii="方正仿宋_GBK" w:hAnsi="方正仿宋_GBK" w:eastAsia="方正仿宋_GBK" w:cs="方正仿宋_GBK"/>
          <w:color w:val="FF0000"/>
          <w:sz w:val="32"/>
          <w:szCs w:val="32"/>
        </w:rPr>
        <w:t>因无法确定品类购买总量，则要求投标人在单价限价基础上报整体折扣，投标折扣率值最</w:t>
      </w:r>
      <w:r>
        <w:rPr>
          <w:rFonts w:hint="eastAsia" w:ascii="方正仿宋_GBK" w:hAnsi="方正仿宋_GBK" w:eastAsia="方正仿宋_GBK" w:cs="方正仿宋_GBK"/>
          <w:color w:val="FF0000"/>
          <w:sz w:val="32"/>
          <w:szCs w:val="32"/>
          <w:lang w:val="en-US" w:eastAsia="zh-CN"/>
        </w:rPr>
        <w:t>低</w:t>
      </w:r>
      <w:r>
        <w:rPr>
          <w:rFonts w:hint="eastAsia" w:ascii="方正仿宋_GBK" w:hAnsi="方正仿宋_GBK" w:eastAsia="方正仿宋_GBK" w:cs="方正仿宋_GBK"/>
          <w:color w:val="FF0000"/>
          <w:sz w:val="32"/>
          <w:szCs w:val="32"/>
        </w:rPr>
        <w:t>者中标</w:t>
      </w:r>
      <w:r>
        <w:rPr>
          <w:rFonts w:hint="eastAsia" w:ascii="方正仿宋_GBK" w:hAnsi="方正仿宋_GBK" w:eastAsia="方正仿宋_GBK" w:cs="方正仿宋_GBK"/>
          <w:color w:val="000000" w:themeColor="text1"/>
          <w:sz w:val="32"/>
          <w:szCs w:val="32"/>
          <w14:textFill>
            <w14:solidFill>
              <w14:schemeClr w14:val="tx1"/>
            </w14:solidFill>
          </w14:textFill>
        </w:rPr>
        <w:t>）。即以满足采购需求的最低报价成交</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如果出现两个及以上相同的最低报价，则由报价最低的投标人当场再次报价直至出现最低报价为止</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投标报价以大写金额为准。</w:t>
      </w:r>
    </w:p>
    <w:p>
      <w:pPr>
        <w:spacing w:line="5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报价方式：</w:t>
      </w:r>
      <w:r>
        <w:rPr>
          <w:rFonts w:hint="eastAsia" w:ascii="方正仿宋_GBK" w:hAnsi="方正仿宋_GBK" w:eastAsia="方正仿宋_GBK" w:cs="方正仿宋_GBK"/>
          <w:sz w:val="32"/>
          <w:szCs w:val="32"/>
          <w:lang w:val="en-US" w:eastAsia="zh-CN"/>
        </w:rPr>
        <w:t>折扣起点为99%，整体下浮，折扣规律为99%、98%、97%，以此类推，不允许保留百分号前小数（所有品类均以此下浮比例计算。如投标折扣率99%，某品类价格为100元，则实际结算价格应为100×99%=99元；其他品列也应按此折扣率99%计算实际结算价格）。</w:t>
      </w:r>
    </w:p>
    <w:p>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中标人因不可抗拒力或者自身原因或者未按要求交纳履约保证金的不能履行合同，且第二中标候选人的报价与第一中标人报价差额在5%（含5%）以内，第二中标候选人可顺延为中标人，以此类推到第三中标候选人。采购人也可重新组织采购。</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若仅两家</w:t>
      </w:r>
      <w:r>
        <w:rPr>
          <w:rFonts w:hint="eastAsia" w:ascii="方正仿宋_GBK" w:hAnsi="方正仿宋_GBK" w:eastAsia="方正仿宋_GBK" w:cs="方正仿宋_GBK"/>
          <w:sz w:val="32"/>
          <w:szCs w:val="32"/>
          <w:lang w:val="en-US" w:eastAsia="zh-CN"/>
        </w:rPr>
        <w:t>及以上单位</w:t>
      </w:r>
      <w:r>
        <w:rPr>
          <w:rFonts w:hint="eastAsia" w:ascii="方正仿宋_GBK" w:hAnsi="方正仿宋_GBK" w:eastAsia="方正仿宋_GBK" w:cs="方正仿宋_GBK"/>
          <w:sz w:val="32"/>
          <w:szCs w:val="32"/>
        </w:rPr>
        <w:t>参与投标，</w:t>
      </w:r>
      <w:r>
        <w:rPr>
          <w:rFonts w:hint="eastAsia" w:ascii="方正仿宋_GBK" w:hAnsi="方正仿宋_GBK" w:eastAsia="方正仿宋_GBK" w:cs="方正仿宋_GBK"/>
          <w:sz w:val="32"/>
          <w:szCs w:val="32"/>
          <w:lang w:eastAsia="zh-CN"/>
        </w:rPr>
        <w:t>则</w:t>
      </w:r>
      <w:r>
        <w:rPr>
          <w:rFonts w:hint="eastAsia" w:ascii="方正仿宋_GBK" w:hAnsi="方正仿宋_GBK" w:eastAsia="方正仿宋_GBK" w:cs="方正仿宋_GBK"/>
          <w:sz w:val="32"/>
          <w:szCs w:val="32"/>
          <w:lang w:val="en-US" w:eastAsia="zh-CN"/>
        </w:rPr>
        <w:t>仍采用上述方法评标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若仅一家单位参与投标，则</w:t>
      </w:r>
      <w:r>
        <w:rPr>
          <w:rFonts w:hint="eastAsia" w:ascii="方正仿宋_GBK" w:hAnsi="方正仿宋_GBK" w:eastAsia="方正仿宋_GBK" w:cs="方正仿宋_GBK"/>
          <w:sz w:val="32"/>
          <w:szCs w:val="32"/>
          <w:lang w:eastAsia="zh-CN"/>
        </w:rPr>
        <w:t>直接</w:t>
      </w:r>
      <w:r>
        <w:rPr>
          <w:rFonts w:hint="eastAsia" w:ascii="方正仿宋_GBK" w:hAnsi="方正仿宋_GBK" w:eastAsia="方正仿宋_GBK" w:cs="方正仿宋_GBK"/>
          <w:sz w:val="32"/>
          <w:szCs w:val="32"/>
        </w:rPr>
        <w:t>采用议价方式评标。</w:t>
      </w:r>
      <w:r>
        <w:rPr>
          <w:rFonts w:hint="eastAsia" w:ascii="方正仿宋_GBK" w:hAnsi="宋体" w:eastAsia="方正仿宋_GBK" w:cs="宋体"/>
          <w:sz w:val="32"/>
          <w:szCs w:val="32"/>
        </w:rPr>
        <w:t>评标准则需满足医院对标的物的要求且报价不能高于限价，若不能满足要求，医院有权宣布本次招标流标。</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六、投标人虚假投标、使用虚假材料、恶意方式质疑和不履约等行为的处理细则：</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（一）若投标人的投标文件中资格证明文件缺少任何一项，投标人将承担投标无效的风险（</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采购人</w:t>
      </w:r>
      <w:r>
        <w:rPr>
          <w:rFonts w:hint="eastAsia" w:ascii="方正仿宋_GBK" w:hAnsi="方正仿宋_GBK" w:eastAsia="方正仿宋_GBK" w:cs="方正仿宋_GBK"/>
          <w:color w:val="000000" w:themeColor="text1"/>
          <w:sz w:val="32"/>
          <w:szCs w:val="32"/>
          <w14:textFill>
            <w14:solidFill>
              <w14:schemeClr w14:val="tx1"/>
            </w14:solidFill>
          </w14:textFill>
        </w:rPr>
        <w:t>将不再采取任何补救措施和通过任何方式寻求投标文件以外的任何文件使其无效投标变更为有效投标）。</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（二）经查实，若投标人有提供虚假证明文件的行为，集中采购机构将向有关部门通报、报经政府采购监督管理部门同意后停止其参加江津区政府采购活动等处理。</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（三）投标人认为成交结果使自己的合法权益受到损害的，应当在采购结果公示期内，以书面形式向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采购人</w:t>
      </w:r>
      <w:r>
        <w:rPr>
          <w:rFonts w:hint="eastAsia" w:ascii="方正仿宋_GBK" w:hAnsi="方正仿宋_GBK" w:eastAsia="方正仿宋_GBK" w:cs="方正仿宋_GBK"/>
          <w:color w:val="000000" w:themeColor="text1"/>
          <w:sz w:val="32"/>
          <w:szCs w:val="32"/>
          <w14:textFill>
            <w14:solidFill>
              <w14:schemeClr w14:val="tx1"/>
            </w14:solidFill>
          </w14:textFill>
        </w:rPr>
        <w:t>提出质疑。行使质疑权时，必须坚持“谁主张谁举证”，遵守“实事求是”和“谨慎性”原则，承担使用虚假材料或恶意方式质疑的法律责任。</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七、质量保证及售后服务</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（一）产品质量保证</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sz w:val="32"/>
          <w:szCs w:val="32"/>
        </w:rPr>
        <w:t>投标人应明确承诺：供应商本着诚实可信原则，投标产品属于国家正品，其产品质量保证期不得低于“三包”规定，不得提供假冒劣质产品，</w:t>
      </w:r>
      <w:r>
        <w:rPr>
          <w:rFonts w:hint="eastAsia" w:ascii="方正仿宋_GBK" w:hAnsi="方正仿宋_GBK" w:eastAsia="方正仿宋_GBK" w:cs="方正仿宋_GBK"/>
          <w:color w:val="auto"/>
          <w:sz w:val="32"/>
          <w:szCs w:val="32"/>
        </w:rPr>
        <w:t>每批次提供质量合格证，否则以采购总额10倍赔偿。</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（二）售后服务内容</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（1）电话咨询。</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（2）现场响应。</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（3）免费送货上门到采购人指定地点。</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八、验收和付款方式</w:t>
      </w:r>
    </w:p>
    <w:p>
      <w:pPr>
        <w:spacing w:line="520" w:lineRule="exact"/>
        <w:ind w:firstLine="640" w:firstLineChars="200"/>
        <w:rPr>
          <w:rFonts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（一）交货地点：</w:t>
      </w:r>
      <w:r>
        <w:rPr>
          <w:rFonts w:hint="eastAsia" w:ascii="方正仿宋_GBK" w:hAnsi="方正仿宋_GBK" w:eastAsia="方正仿宋_GBK" w:cs="方正仿宋_GBK"/>
          <w:color w:val="auto"/>
          <w:sz w:val="32"/>
          <w:szCs w:val="32"/>
        </w:rPr>
        <w:t>重庆江津区中心医院</w:t>
      </w:r>
      <w:r>
        <w:rPr>
          <w:rFonts w:hint="eastAsia" w:ascii="方正仿宋_GBK" w:hAnsi="方正仿宋_GBK" w:eastAsia="方正仿宋_GBK" w:cs="方正仿宋_GBK"/>
          <w:color w:val="auto"/>
          <w:sz w:val="32"/>
          <w:szCs w:val="32"/>
          <w:lang w:val="en-US" w:eastAsia="zh-CN"/>
        </w:rPr>
        <w:t>指定地点</w:t>
      </w:r>
      <w:r>
        <w:rPr>
          <w:rFonts w:hint="eastAsia" w:ascii="方正仿宋_GBK" w:hAnsi="方正仿宋_GBK" w:eastAsia="方正仿宋_GBK" w:cs="方正仿宋_GBK"/>
          <w:color w:val="auto"/>
          <w:sz w:val="32"/>
          <w:szCs w:val="32"/>
        </w:rPr>
        <w:t>，不接受</w:t>
      </w:r>
      <w:r>
        <w:rPr>
          <w:rFonts w:hint="eastAsia" w:ascii="方正仿宋_GBK" w:hAnsi="方正仿宋_GBK" w:eastAsia="方正仿宋_GBK" w:cs="方正仿宋_GBK"/>
          <w:color w:val="auto"/>
          <w:sz w:val="32"/>
          <w:szCs w:val="32"/>
          <w:lang w:eastAsia="zh-CN"/>
        </w:rPr>
        <w:t>快递形式</w:t>
      </w:r>
      <w:r>
        <w:rPr>
          <w:rFonts w:hint="eastAsia" w:ascii="方正仿宋_GBK" w:hAnsi="方正仿宋_GBK" w:eastAsia="方正仿宋_GBK" w:cs="方正仿宋_GBK"/>
          <w:color w:val="auto"/>
          <w:sz w:val="32"/>
          <w:szCs w:val="32"/>
          <w:lang w:val="en-US" w:eastAsia="zh-CN"/>
        </w:rPr>
        <w:t>寄货自取</w:t>
      </w:r>
      <w:r>
        <w:rPr>
          <w:rFonts w:hint="eastAsia" w:ascii="方正仿宋_GBK" w:hAnsi="方正仿宋_GBK" w:eastAsia="方正仿宋_GBK" w:cs="方正仿宋_GBK"/>
          <w:color w:val="auto"/>
          <w:sz w:val="32"/>
          <w:szCs w:val="32"/>
        </w:rPr>
        <w:t>。</w:t>
      </w:r>
    </w:p>
    <w:p>
      <w:pPr>
        <w:spacing w:line="52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（二）供货方式：</w:t>
      </w:r>
      <w:r>
        <w:rPr>
          <w:rFonts w:hint="eastAsia" w:ascii="方正仿宋_GBK" w:hAnsi="方正仿宋_GBK" w:eastAsia="方正仿宋_GBK" w:cs="方正仿宋_GBK"/>
          <w:sz w:val="32"/>
          <w:szCs w:val="32"/>
        </w:rPr>
        <w:t>根据甲方书面或电话通知，送货上门，因采购单位特殊性须随叫随送，一般货物1至2天送到，紧急货物1至2小时送到。</w:t>
      </w:r>
    </w:p>
    <w:p>
      <w:pPr>
        <w:spacing w:line="52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（三）验收方式：</w:t>
      </w:r>
      <w:r>
        <w:rPr>
          <w:rFonts w:hint="eastAsia" w:ascii="方正仿宋_GBK" w:hAnsi="方正仿宋_GBK" w:eastAsia="方正仿宋_GBK" w:cs="方正仿宋_GBK"/>
          <w:sz w:val="32"/>
          <w:szCs w:val="32"/>
        </w:rPr>
        <w:t>供需双方对商品质量、规格型号、品牌、数量、单价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一律保留两位小数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等进行现场验收合格后签字确认，不合格拒收。</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（四）付款：</w:t>
      </w:r>
      <w:r>
        <w:rPr>
          <w:rFonts w:hint="eastAsia" w:ascii="方正仿宋_GBK" w:hAnsi="方正仿宋_GBK" w:eastAsia="方正仿宋_GBK" w:cs="方正仿宋_GBK"/>
          <w:color w:val="auto"/>
          <w:sz w:val="32"/>
          <w:szCs w:val="32"/>
        </w:rPr>
        <w:t>每月20日前以实际采购数量结算，货款支付为每季度一次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若未征得采购人同意擅自更换品种及提高单价，发现一次从履约保证金中扣除1000元。且一经发现投标人弄虚作假的，采购人可单方面立即终止供货合同，并扣除全部履</w:t>
      </w:r>
      <w:r>
        <w:rPr>
          <w:rFonts w:hint="eastAsia" w:ascii="方正仿宋_GBK" w:hAnsi="方正仿宋_GBK" w:eastAsia="方正仿宋_GBK" w:cs="方正仿宋_GBK"/>
          <w:sz w:val="32"/>
          <w:szCs w:val="32"/>
          <w:lang w:val="en-US" w:eastAsia="zh-CN"/>
        </w:rPr>
        <w:t>约保证金</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九、咨询方式</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小标宋_GBK" w:hAnsi="方正小标宋_GBK" w:eastAsia="方正小标宋_GBK" w:cs="方正小标宋_GBK"/>
          <w:sz w:val="44"/>
          <w:szCs w:val="44"/>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咨询人：徐老师、石老师      电话：023-47565027 </w:t>
      </w:r>
    </w:p>
    <w:p>
      <w:pPr>
        <w:keepNext w:val="0"/>
        <w:keepLines w:val="0"/>
        <w:pageBreakBefore w:val="0"/>
        <w:widowControl w:val="0"/>
        <w:kinsoku/>
        <w:wordWrap/>
        <w:overflowPunct/>
        <w:topLinePunct w:val="0"/>
        <w:autoSpaceDE/>
        <w:autoSpaceDN/>
        <w:bidi w:val="0"/>
        <w:adjustRightInd/>
        <w:snapToGrid/>
        <w:spacing w:after="313" w:afterLines="100" w:line="560" w:lineRule="exact"/>
        <w:jc w:val="both"/>
        <w:textAlignment w:val="auto"/>
        <w:rPr>
          <w:rFonts w:hint="eastAsia" w:ascii="方正小标宋_GBK" w:hAnsi="方正小标宋_GBK" w:eastAsia="方正小标宋_GBK" w:cs="方正小标宋_GBK"/>
          <w:b w:val="0"/>
          <w:bCs/>
          <w:sz w:val="44"/>
          <w:szCs w:val="44"/>
        </w:rPr>
        <w:sectPr>
          <w:pgSz w:w="11906" w:h="16838"/>
          <w:pgMar w:top="2098" w:right="1474" w:bottom="1984" w:left="1587" w:header="851" w:footer="992" w:gutter="0"/>
          <w:cols w:space="720" w:num="1"/>
          <w:docGrid w:type="lines" w:linePitch="312" w:charSpace="0"/>
        </w:sectPr>
      </w:pPr>
    </w:p>
    <w:p>
      <w:pPr>
        <w:pStyle w:val="2"/>
        <w:ind w:left="0" w:leftChars="0" w:firstLine="0" w:firstLineChars="0"/>
        <w:jc w:val="center"/>
        <w:rPr>
          <w:rFonts w:hint="eastAsia" w:ascii="方正黑体_GBK" w:hAnsi="方正黑体_GBK" w:eastAsia="方正黑体_GBK" w:cs="方正黑体_GBK"/>
          <w:sz w:val="36"/>
          <w:szCs w:val="36"/>
          <w:lang w:val="en-US" w:eastAsia="zh-CN"/>
        </w:rPr>
      </w:pPr>
      <w:r>
        <w:rPr>
          <w:rFonts w:hint="eastAsia" w:ascii="方正黑体_GBK" w:hAnsi="方正黑体_GBK" w:eastAsia="方正黑体_GBK" w:cs="方正黑体_GBK"/>
          <w:sz w:val="36"/>
          <w:szCs w:val="36"/>
          <w:lang w:val="en-US" w:eastAsia="zh-CN"/>
        </w:rPr>
        <w:t>全营养素即冲粉采购清单（报价表）</w:t>
      </w:r>
    </w:p>
    <w:tbl>
      <w:tblPr>
        <w:tblStyle w:val="9"/>
        <w:tblW w:w="14595" w:type="dxa"/>
        <w:tblInd w:w="-664" w:type="dxa"/>
        <w:tblLayout w:type="fixed"/>
        <w:tblCellMar>
          <w:top w:w="0" w:type="dxa"/>
          <w:left w:w="108" w:type="dxa"/>
          <w:bottom w:w="0" w:type="dxa"/>
          <w:right w:w="108" w:type="dxa"/>
        </w:tblCellMar>
      </w:tblPr>
      <w:tblGrid>
        <w:gridCol w:w="855"/>
        <w:gridCol w:w="2115"/>
        <w:gridCol w:w="4650"/>
        <w:gridCol w:w="2835"/>
        <w:gridCol w:w="1410"/>
        <w:gridCol w:w="1740"/>
        <w:gridCol w:w="990"/>
      </w:tblGrid>
      <w:tr>
        <w:tblPrEx>
          <w:tblCellMar>
            <w:top w:w="0" w:type="dxa"/>
            <w:left w:w="108" w:type="dxa"/>
            <w:bottom w:w="0" w:type="dxa"/>
            <w:right w:w="108" w:type="dxa"/>
          </w:tblCellMar>
        </w:tblPrEx>
        <w:trPr>
          <w:trHeight w:val="1065" w:hRule="atLeast"/>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楷体" w:hAnsi="楷体" w:eastAsia="楷体" w:cs="楷体"/>
                <w:kern w:val="0"/>
                <w:sz w:val="24"/>
                <w:lang w:eastAsia="zh-CN"/>
              </w:rPr>
            </w:pPr>
            <w:r>
              <w:rPr>
                <w:rFonts w:hint="eastAsia" w:ascii="楷体" w:hAnsi="楷体" w:eastAsia="楷体" w:cs="楷体"/>
                <w:kern w:val="0"/>
                <w:sz w:val="24"/>
                <w:lang w:val="en-US" w:eastAsia="zh-CN"/>
              </w:rPr>
              <w:t>序号</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r>
              <w:rPr>
                <w:rFonts w:hint="eastAsia" w:ascii="楷体" w:hAnsi="楷体" w:eastAsia="楷体" w:cs="楷体"/>
                <w:kern w:val="0"/>
                <w:sz w:val="24"/>
              </w:rPr>
              <w:t>通用名</w:t>
            </w:r>
          </w:p>
        </w:tc>
        <w:tc>
          <w:tcPr>
            <w:tcW w:w="465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r>
              <w:rPr>
                <w:rFonts w:hint="eastAsia" w:ascii="楷体" w:hAnsi="楷体" w:eastAsia="楷体" w:cs="楷体"/>
                <w:kern w:val="0"/>
                <w:sz w:val="24"/>
              </w:rPr>
              <w:t>技术要求</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r>
              <w:rPr>
                <w:rFonts w:hint="eastAsia" w:ascii="楷体" w:hAnsi="楷体" w:eastAsia="楷体" w:cs="楷体"/>
                <w:kern w:val="0"/>
                <w:sz w:val="24"/>
              </w:rPr>
              <w:t>产品功效及适用人群</w:t>
            </w:r>
          </w:p>
        </w:tc>
        <w:tc>
          <w:tcPr>
            <w:tcW w:w="141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楷体" w:hAnsi="楷体" w:eastAsia="楷体" w:cs="楷体"/>
                <w:kern w:val="0"/>
                <w:sz w:val="24"/>
              </w:rPr>
            </w:pPr>
            <w:r>
              <w:rPr>
                <w:rFonts w:hint="eastAsia" w:ascii="楷体" w:hAnsi="楷体" w:eastAsia="楷体" w:cs="楷体"/>
                <w:kern w:val="0"/>
                <w:sz w:val="24"/>
              </w:rPr>
              <w:t>现供货价元/克或ml</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楷体" w:hAnsi="楷体" w:eastAsia="楷体" w:cs="楷体"/>
                <w:kern w:val="0"/>
                <w:sz w:val="24"/>
              </w:rPr>
            </w:pPr>
            <w:r>
              <w:rPr>
                <w:rFonts w:hint="eastAsia" w:ascii="楷体" w:hAnsi="楷体" w:eastAsia="楷体" w:cs="楷体"/>
                <w:kern w:val="0"/>
                <w:sz w:val="24"/>
              </w:rPr>
              <w:t>每年预计需求量（克或ml）</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折扣率</w:t>
            </w:r>
          </w:p>
        </w:tc>
      </w:tr>
      <w:tr>
        <w:tblPrEx>
          <w:tblCellMar>
            <w:top w:w="0" w:type="dxa"/>
            <w:left w:w="108" w:type="dxa"/>
            <w:bottom w:w="0" w:type="dxa"/>
            <w:right w:w="108" w:type="dxa"/>
          </w:tblCellMar>
        </w:tblPrEx>
        <w:trPr>
          <w:trHeight w:val="1970" w:hRule="atLeast"/>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1</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楷体" w:hAnsi="楷体" w:eastAsia="楷体" w:cs="楷体"/>
                <w:kern w:val="0"/>
                <w:sz w:val="24"/>
                <w:lang w:val="en-US" w:eastAsia="zh-CN" w:bidi="ar-SA"/>
              </w:rPr>
            </w:pPr>
            <w:r>
              <w:rPr>
                <w:rFonts w:hint="eastAsia" w:ascii="楷体" w:hAnsi="楷体" w:eastAsia="楷体" w:cs="楷体"/>
                <w:kern w:val="0"/>
                <w:sz w:val="24"/>
              </w:rPr>
              <w:t>全营养素即冲粉</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numPr>
                <w:ilvl w:val="0"/>
                <w:numId w:val="3"/>
              </w:numPr>
              <w:kinsoku/>
              <w:wordWrap/>
              <w:overflowPunct/>
              <w:topLinePunct w:val="0"/>
              <w:autoSpaceDE/>
              <w:autoSpaceDN/>
              <w:bidi w:val="0"/>
              <w:adjustRightInd/>
              <w:snapToGrid/>
              <w:spacing w:before="789" w:beforeLines="250" w:line="320" w:lineRule="exact"/>
              <w:jc w:val="left"/>
              <w:textAlignment w:val="auto"/>
              <w:rPr>
                <w:rFonts w:hint="eastAsia"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每100g含：蛋白质25-27g，脂肪：19-21g，欧米伽-3脂肪酸400-600mg；碳水化合物：29-35g； 不含反式脂肪酸</w:t>
            </w:r>
            <w:r>
              <w:rPr>
                <w:rFonts w:hint="eastAsia" w:ascii="楷体" w:hAnsi="楷体" w:eastAsia="楷体" w:cs="楷体"/>
                <w:color w:val="000000" w:themeColor="text1"/>
                <w:kern w:val="0"/>
                <w:sz w:val="24"/>
                <w:lang w:eastAsia="zh-CN"/>
                <w14:textFill>
                  <w14:solidFill>
                    <w14:schemeClr w14:val="tx1"/>
                  </w14:solidFill>
                </w14:textFill>
              </w:rPr>
              <w:t>。</w:t>
            </w:r>
            <w:r>
              <w:rPr>
                <w:rFonts w:hint="eastAsia" w:ascii="楷体" w:hAnsi="楷体" w:eastAsia="楷体" w:cs="楷体"/>
                <w:color w:val="000000" w:themeColor="text1"/>
                <w:kern w:val="0"/>
                <w:sz w:val="24"/>
                <w14:textFill>
                  <w14:solidFill>
                    <w14:schemeClr w14:val="tx1"/>
                  </w14:solidFill>
                </w14:textFill>
              </w:rPr>
              <w:t xml:space="preserve">   2.每100g提供能量:400-430kcal</w:t>
            </w:r>
            <w:r>
              <w:rPr>
                <w:rFonts w:hint="eastAsia" w:ascii="楷体" w:hAnsi="楷体" w:eastAsia="楷体" w:cs="楷体"/>
                <w:color w:val="000000" w:themeColor="text1"/>
                <w:kern w:val="0"/>
                <w:sz w:val="24"/>
                <w:lang w:eastAsia="zh-CN"/>
                <w14:textFill>
                  <w14:solidFill>
                    <w14:schemeClr w14:val="tx1"/>
                  </w14:solidFill>
                </w14:textFill>
              </w:rPr>
              <w:t>。</w:t>
            </w:r>
            <w:r>
              <w:rPr>
                <w:rFonts w:hint="eastAsia" w:ascii="楷体" w:hAnsi="楷体" w:eastAsia="楷体" w:cs="楷体"/>
                <w:color w:val="000000" w:themeColor="text1"/>
                <w:kern w:val="0"/>
                <w:sz w:val="24"/>
                <w14:textFill>
                  <w14:solidFill>
                    <w14:schemeClr w14:val="tx1"/>
                  </w14:solidFill>
                </w14:textFill>
              </w:rPr>
              <w:t xml:space="preserve">                          3.动植物双蛋白，乳清蛋白占比80-90%，不含乳糖，膳食纤维含量≥5g/100g</w:t>
            </w:r>
            <w:r>
              <w:rPr>
                <w:rFonts w:hint="eastAsia" w:ascii="楷体" w:hAnsi="楷体" w:eastAsia="楷体" w:cs="楷体"/>
                <w:color w:val="000000" w:themeColor="text1"/>
                <w:kern w:val="0"/>
                <w:sz w:val="24"/>
                <w:lang w:eastAsia="zh-CN"/>
                <w14:textFill>
                  <w14:solidFill>
                    <w14:schemeClr w14:val="tx1"/>
                  </w14:solidFill>
                </w14:textFill>
              </w:rPr>
              <w:t>。</w:t>
            </w:r>
          </w:p>
          <w:p>
            <w:pPr>
              <w:widowControl/>
              <w:spacing w:line="320" w:lineRule="exact"/>
              <w:jc w:val="left"/>
              <w:rPr>
                <w:rFonts w:hint="eastAsia" w:ascii="楷体" w:hAnsi="楷体" w:eastAsia="楷体" w:cs="楷体"/>
                <w:kern w:val="0"/>
                <w:sz w:val="24"/>
                <w:lang w:val="en-US" w:eastAsia="zh-CN" w:bidi="ar-SA"/>
              </w:rPr>
            </w:pPr>
            <w:r>
              <w:rPr>
                <w:rFonts w:hint="eastAsia" w:ascii="楷体" w:hAnsi="楷体" w:eastAsia="楷体" w:cs="楷体"/>
                <w:color w:val="000000" w:themeColor="text1"/>
                <w:kern w:val="0"/>
                <w:sz w:val="24"/>
                <w14:textFill>
                  <w14:solidFill>
                    <w14:schemeClr w14:val="tx1"/>
                  </w14:solidFill>
                </w14:textFill>
              </w:rPr>
              <w:t>4.添加核苷酸、牛磺酸、β-胡萝卜素</w:t>
            </w:r>
            <w:r>
              <w:rPr>
                <w:rFonts w:hint="eastAsia" w:ascii="楷体" w:hAnsi="楷体" w:eastAsia="楷体" w:cs="楷体"/>
                <w:color w:val="000000" w:themeColor="text1"/>
                <w:kern w:val="0"/>
                <w:sz w:val="24"/>
                <w:lang w:eastAsia="zh-CN"/>
                <w14:textFill>
                  <w14:solidFill>
                    <w14:schemeClr w14:val="tx1"/>
                  </w14:solidFill>
                </w14:textFill>
              </w:rPr>
              <w:t>。</w:t>
            </w:r>
            <w:r>
              <w:rPr>
                <w:rFonts w:hint="eastAsia" w:ascii="楷体" w:hAnsi="楷体" w:eastAsia="楷体" w:cs="楷体"/>
                <w:kern w:val="0"/>
                <w:sz w:val="24"/>
              </w:rPr>
              <w:t xml:space="preserve">                              </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left"/>
              <w:rPr>
                <w:rFonts w:hint="eastAsia" w:ascii="楷体" w:hAnsi="楷体" w:eastAsia="楷体" w:cs="楷体"/>
                <w:kern w:val="0"/>
                <w:sz w:val="24"/>
                <w:lang w:val="en-US" w:eastAsia="zh-CN" w:bidi="ar-SA"/>
              </w:rPr>
            </w:pPr>
            <w:r>
              <w:rPr>
                <w:rFonts w:hint="eastAsia" w:ascii="楷体" w:hAnsi="楷体" w:eastAsia="楷体" w:cs="楷体"/>
                <w:kern w:val="0"/>
                <w:sz w:val="24"/>
              </w:rPr>
              <w:t>1.产品功效：补充营养，提高免疫，减少感染；纠正营养不良和低蛋白血症，减少体重丢失；减少术后并发症，促进伤口愈合，促进术后康复；减轻放化疗毒副反应，提高治疗耐受性，提高生活质量</w:t>
            </w:r>
            <w:r>
              <w:rPr>
                <w:rFonts w:hint="eastAsia" w:ascii="楷体" w:hAnsi="楷体" w:eastAsia="楷体" w:cs="楷体"/>
                <w:kern w:val="0"/>
                <w:sz w:val="24"/>
                <w:lang w:eastAsia="zh-CN"/>
              </w:rPr>
              <w:t>。</w:t>
            </w:r>
            <w:r>
              <w:rPr>
                <w:rFonts w:hint="eastAsia" w:ascii="楷体" w:hAnsi="楷体" w:eastAsia="楷体" w:cs="楷体"/>
                <w:kern w:val="0"/>
                <w:sz w:val="24"/>
              </w:rPr>
              <w:br w:type="textWrapping"/>
            </w:r>
            <w:r>
              <w:rPr>
                <w:rFonts w:hint="eastAsia" w:ascii="楷体" w:hAnsi="楷体" w:eastAsia="楷体" w:cs="楷体"/>
                <w:kern w:val="0"/>
                <w:sz w:val="24"/>
              </w:rPr>
              <w:t>2、适用人群：肿瘤患者，包括围手术期、放化疗期，康复期，免疫治疗，靶向治疗肿瘤患者</w:t>
            </w:r>
            <w:r>
              <w:rPr>
                <w:rFonts w:hint="eastAsia" w:ascii="楷体" w:hAnsi="楷体" w:eastAsia="楷体" w:cs="楷体"/>
                <w:kern w:val="0"/>
                <w:sz w:val="24"/>
                <w:lang w:eastAsia="zh-CN"/>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楷体" w:hAnsi="楷体" w:eastAsia="楷体" w:cs="楷体"/>
                <w:kern w:val="0"/>
                <w:sz w:val="24"/>
                <w:lang w:val="en-US" w:eastAsia="zh-CN" w:bidi="ar-SA"/>
              </w:rPr>
            </w:pPr>
            <w:r>
              <w:rPr>
                <w:rFonts w:hint="eastAsia" w:ascii="楷体" w:hAnsi="楷体" w:eastAsia="楷体" w:cs="楷体"/>
                <w:kern w:val="0"/>
                <w:sz w:val="24"/>
              </w:rPr>
              <w:t>1.1元/克</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楷体" w:hAnsi="楷体" w:eastAsia="楷体" w:cs="楷体"/>
                <w:kern w:val="0"/>
                <w:sz w:val="24"/>
                <w:lang w:val="en-US" w:eastAsia="zh-CN" w:bidi="ar-SA"/>
              </w:rPr>
            </w:pPr>
            <w:r>
              <w:rPr>
                <w:rFonts w:hint="eastAsia" w:ascii="楷体" w:hAnsi="楷体" w:eastAsia="楷体" w:cs="楷体"/>
                <w:kern w:val="0"/>
                <w:sz w:val="24"/>
              </w:rPr>
              <w:t>10000克</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楷体" w:hAnsi="楷体" w:eastAsia="楷体" w:cs="楷体"/>
                <w:kern w:val="0"/>
                <w:sz w:val="24"/>
              </w:rPr>
            </w:pPr>
          </w:p>
        </w:tc>
      </w:tr>
    </w:tbl>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both"/>
        <w:textAlignment w:val="auto"/>
        <w:rPr>
          <w:rFonts w:hint="default" w:ascii="方正仿宋_GBK" w:hAnsi="方正仿宋_GBK" w:eastAsia="方正仿宋_GBK" w:cs="方正仿宋_GBK"/>
          <w:b w:val="0"/>
          <w:bCs/>
          <w:sz w:val="32"/>
          <w:szCs w:val="32"/>
          <w:lang w:val="en-US" w:eastAsia="zh-CN"/>
        </w:rPr>
        <w:sectPr>
          <w:pgSz w:w="16838" w:h="11906" w:orient="landscape"/>
          <w:pgMar w:top="1587" w:right="2098" w:bottom="1474" w:left="1984" w:header="851" w:footer="992" w:gutter="0"/>
          <w:cols w:space="0" w:num="1"/>
          <w:rtlGutter w:val="0"/>
          <w:docGrid w:type="lines" w:linePitch="315" w:charSpace="0"/>
        </w:sectPr>
      </w:pPr>
      <w:r>
        <w:rPr>
          <w:rFonts w:hint="eastAsia" w:ascii="方正仿宋_GBK" w:hAnsi="方正仿宋_GBK" w:eastAsia="方正仿宋_GBK" w:cs="方正仿宋_GBK"/>
          <w:sz w:val="32"/>
          <w:szCs w:val="32"/>
        </w:rPr>
        <w:t>投标人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公章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法定代表人或法定代表人授权代表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签字或盖章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法定代表人身份证明</w:t>
      </w:r>
    </w:p>
    <w:p>
      <w:pPr>
        <w:tabs>
          <w:tab w:val="left" w:pos="5565"/>
        </w:tabs>
        <w:autoSpaceDE w:val="0"/>
        <w:autoSpaceDN w:val="0"/>
        <w:spacing w:line="360" w:lineRule="auto"/>
        <w:ind w:firstLine="595" w:firstLineChars="186"/>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投标单位名称：</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lang w:val="en-US" w:eastAsia="zh-CN"/>
        </w:rPr>
        <w:t xml:space="preserve">  </w:t>
      </w:r>
    </w:p>
    <w:p>
      <w:pPr>
        <w:tabs>
          <w:tab w:val="left" w:pos="5565"/>
        </w:tabs>
        <w:autoSpaceDE w:val="0"/>
        <w:autoSpaceDN w:val="0"/>
        <w:spacing w:line="360" w:lineRule="auto"/>
        <w:ind w:firstLine="595" w:firstLineChars="186"/>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单位性质：</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lang w:val="en-US" w:eastAsia="zh-CN"/>
        </w:rPr>
        <w:t xml:space="preserve">  </w:t>
      </w:r>
    </w:p>
    <w:p>
      <w:pPr>
        <w:tabs>
          <w:tab w:val="left" w:pos="5475"/>
        </w:tabs>
        <w:autoSpaceDE w:val="0"/>
        <w:autoSpaceDN w:val="0"/>
        <w:spacing w:line="360" w:lineRule="auto"/>
        <w:ind w:firstLine="595" w:firstLineChars="186"/>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lang w:val="en-US" w:eastAsia="zh-CN"/>
        </w:rPr>
        <w:t xml:space="preserve">  </w:t>
      </w:r>
    </w:p>
    <w:p>
      <w:pPr>
        <w:tabs>
          <w:tab w:val="left" w:pos="2520"/>
          <w:tab w:val="left" w:pos="3836"/>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成立时间：</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日</w:t>
      </w:r>
    </w:p>
    <w:p>
      <w:pPr>
        <w:tabs>
          <w:tab w:val="left" w:pos="5475"/>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经营期限：</w:t>
      </w:r>
      <w:r>
        <w:rPr>
          <w:rFonts w:hint="eastAsia" w:ascii="方正仿宋_GBK" w:hAnsi="方正仿宋_GBK" w:eastAsia="方正仿宋_GBK" w:cs="方正仿宋_GBK"/>
          <w:sz w:val="32"/>
          <w:szCs w:val="32"/>
          <w:u w:val="single"/>
        </w:rPr>
        <w:tab/>
      </w:r>
    </w:p>
    <w:p>
      <w:pPr>
        <w:tabs>
          <w:tab w:val="left" w:pos="1580"/>
          <w:tab w:val="left" w:pos="2710"/>
          <w:tab w:val="left" w:pos="4840"/>
          <w:tab w:val="left" w:pos="6300"/>
        </w:tabs>
        <w:autoSpaceDE w:val="0"/>
        <w:autoSpaceDN w:val="0"/>
        <w:spacing w:line="360" w:lineRule="auto"/>
        <w:ind w:firstLine="595" w:firstLineChars="186"/>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姓名：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性别：</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年龄：</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职务：</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lang w:val="en-US" w:eastAsia="zh-CN"/>
        </w:rPr>
        <w:t xml:space="preserve">    </w:t>
      </w:r>
    </w:p>
    <w:p>
      <w:pPr>
        <w:tabs>
          <w:tab w:val="left" w:pos="3360"/>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的法定代表人。</w:t>
      </w:r>
    </w:p>
    <w:p>
      <w:pPr>
        <w:tabs>
          <w:tab w:val="left" w:pos="3360"/>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tabs>
          <w:tab w:val="left" w:pos="6485"/>
        </w:tabs>
        <w:autoSpaceDE w:val="0"/>
        <w:autoSpaceDN w:val="0"/>
        <w:spacing w:line="360" w:lineRule="auto"/>
        <w:ind w:firstLine="2080" w:firstLineChars="6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投标单位：</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（盖单位公章）</w:t>
      </w:r>
    </w:p>
    <w:p>
      <w:pPr>
        <w:tabs>
          <w:tab w:val="left" w:pos="3975"/>
          <w:tab w:val="left" w:pos="5460"/>
          <w:tab w:val="left" w:pos="6400"/>
        </w:tabs>
        <w:autoSpaceDE w:val="0"/>
        <w:autoSpaceDN w:val="0"/>
        <w:spacing w:line="360" w:lineRule="auto"/>
        <w:ind w:firstLine="5600" w:firstLineChars="1750"/>
        <w:jc w:val="both"/>
        <w:rPr>
          <w:rFonts w:ascii="方正仿宋_GBK" w:hAnsi="方正仿宋_GBK" w:eastAsia="方正仿宋_GBK" w:cs="方正仿宋_GBK"/>
          <w:w w:val="200"/>
          <w:sz w:val="32"/>
          <w:szCs w:val="32"/>
          <w:u w:val="single"/>
        </w:r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bidi w:val="0"/>
        <w:adjustRightInd/>
        <w:spacing w:line="520" w:lineRule="exact"/>
        <w:ind w:right="560"/>
        <w:jc w:val="center"/>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bidi w:val="0"/>
        <w:adjustRightInd/>
        <w:spacing w:line="520" w:lineRule="exact"/>
        <w:ind w:right="560"/>
        <w:jc w:val="center"/>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bidi w:val="0"/>
        <w:adjustRightInd/>
        <w:spacing w:line="520" w:lineRule="exact"/>
        <w:ind w:right="560"/>
        <w:jc w:val="center"/>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bidi w:val="0"/>
        <w:adjustRightInd/>
        <w:spacing w:line="520" w:lineRule="exact"/>
        <w:ind w:right="560"/>
        <w:jc w:val="center"/>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bidi w:val="0"/>
        <w:adjustRightInd/>
        <w:spacing w:line="520" w:lineRule="exact"/>
        <w:ind w:right="560"/>
        <w:jc w:val="center"/>
        <w:textAlignment w:val="auto"/>
        <w:rPr>
          <w:rFonts w:hint="eastAsia" w:ascii="方正仿宋_GBK" w:hAnsi="方正仿宋_GBK" w:eastAsia="方正仿宋_GBK" w:cs="方正仿宋_GBK"/>
          <w:b/>
          <w:sz w:val="32"/>
          <w:szCs w:val="32"/>
        </w:rPr>
      </w:pPr>
    </w:p>
    <w:p>
      <w:pPr>
        <w:pStyle w:val="5"/>
        <w:rPr>
          <w:rFonts w:hint="eastAsia" w:ascii="方正仿宋_GBK" w:hAnsi="方正仿宋_GBK" w:eastAsia="方正仿宋_GBK" w:cs="方正仿宋_GBK"/>
          <w:b/>
          <w:sz w:val="32"/>
          <w:szCs w:val="32"/>
        </w:rPr>
      </w:pPr>
    </w:p>
    <w:p>
      <w:pPr>
        <w:pStyle w:val="6"/>
        <w:rPr>
          <w:rFonts w:hint="eastAsia" w:ascii="方正仿宋_GBK" w:hAnsi="方正仿宋_GBK" w:eastAsia="方正仿宋_GBK" w:cs="方正仿宋_GBK"/>
          <w:b/>
          <w:sz w:val="32"/>
          <w:szCs w:val="32"/>
        </w:rPr>
      </w:pPr>
    </w:p>
    <w:p>
      <w:pPr>
        <w:pStyle w:val="6"/>
        <w:rPr>
          <w:rFonts w:hint="eastAsia" w:ascii="方正仿宋_GBK" w:hAnsi="方正仿宋_GBK" w:eastAsia="方正仿宋_GBK" w:cs="方正仿宋_GBK"/>
          <w:b/>
          <w:sz w:val="32"/>
          <w:szCs w:val="32"/>
        </w:rPr>
      </w:pPr>
    </w:p>
    <w:p>
      <w:pPr>
        <w:pStyle w:val="6"/>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right="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法定代表人授权委托书</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本授权书声明：我</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（姓名）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（投标单位名称）</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的法定代表人，现授权我单位的</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（姓名）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为我公司授权代理人，以本公司的名义参加重庆市江津区中心医院的</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i w:val="0"/>
          <w:iCs w:val="0"/>
          <w:sz w:val="32"/>
          <w:szCs w:val="32"/>
          <w:u w:val="single"/>
          <w:lang w:val="en-US" w:eastAsia="zh-CN"/>
        </w:rPr>
        <w:t xml:space="preserve"> </w:t>
      </w:r>
      <w:r>
        <w:rPr>
          <w:rFonts w:hint="eastAsia" w:ascii="方正仿宋_GBK" w:hAnsi="方正仿宋_GBK" w:eastAsia="方正仿宋_GBK" w:cs="方正仿宋_GBK"/>
          <w:i w:val="0"/>
          <w:iCs w:val="0"/>
          <w:sz w:val="32"/>
          <w:szCs w:val="32"/>
          <w:u w:val="single"/>
        </w:rPr>
        <w:t>（项目名称）</w:t>
      </w:r>
      <w:r>
        <w:rPr>
          <w:rFonts w:hint="eastAsia" w:ascii="方正仿宋_GBK" w:hAnsi="方正仿宋_GBK" w:eastAsia="方正仿宋_GBK" w:cs="方正仿宋_GBK"/>
          <w:i w:val="0"/>
          <w:iCs w:val="0"/>
          <w:sz w:val="32"/>
          <w:szCs w:val="32"/>
          <w:u w:val="single"/>
          <w:lang w:val="en-US" w:eastAsia="zh-CN"/>
        </w:rPr>
        <w:t xml:space="preserve">    </w:t>
      </w:r>
      <w:r>
        <w:rPr>
          <w:rFonts w:hint="eastAsia" w:ascii="方正仿宋_GBK" w:hAnsi="方正仿宋_GBK" w:eastAsia="方正仿宋_GBK" w:cs="方正仿宋_GBK"/>
          <w:sz w:val="32"/>
          <w:szCs w:val="32"/>
        </w:rPr>
        <w:t>询价采购活动。授权代理人在本次询价采购过程中所签署的一切文件和处理与之有关的一切事务，我均予以承认。</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授权代理人：         性别：       年龄：    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单位：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部门：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职务：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授权代理人无转让权，特此授权。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投标单位：（盖章）</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法定表人：（签字或盖章）</w:t>
      </w:r>
    </w:p>
    <w:tbl>
      <w:tblPr>
        <w:tblStyle w:val="9"/>
        <w:tblpPr w:leftFromText="180" w:rightFromText="180" w:vertAnchor="text" w:horzAnchor="page" w:tblpX="1440" w:tblpY="621"/>
        <w:tblW w:w="44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6" w:hRule="atLeast"/>
        </w:trPr>
        <w:tc>
          <w:tcPr>
            <w:tcW w:w="4460" w:type="dxa"/>
            <w:tcBorders>
              <w:top w:val="dotDotDash" w:color="auto" w:sz="4" w:space="0"/>
              <w:left w:val="dotDotDash" w:color="auto" w:sz="4" w:space="0"/>
              <w:bottom w:val="dotDotDash" w:color="auto" w:sz="4" w:space="0"/>
              <w:right w:val="dotDotDash" w:color="auto" w:sz="4" w:space="0"/>
            </w:tcBorders>
            <w:noWrap/>
          </w:tcPr>
          <w:p>
            <w:pPr>
              <w:spacing w:line="56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法定代表人身份证复印件</w:t>
            </w:r>
          </w:p>
          <w:p>
            <w:pPr>
              <w:spacing w:line="560" w:lineRule="exact"/>
              <w:rPr>
                <w:rFonts w:ascii="宋体" w:hAnsi="宋体"/>
                <w:sz w:val="24"/>
                <w:szCs w:val="24"/>
              </w:rPr>
            </w:pPr>
          </w:p>
          <w:p>
            <w:pPr>
              <w:spacing w:line="560" w:lineRule="exact"/>
              <w:rPr>
                <w:rFonts w:ascii="宋体" w:hAnsi="宋体"/>
                <w:sz w:val="24"/>
                <w:szCs w:val="24"/>
              </w:rPr>
            </w:pPr>
          </w:p>
          <w:p>
            <w:pPr>
              <w:spacing w:line="560" w:lineRule="exact"/>
              <w:rPr>
                <w:rFonts w:ascii="宋体" w:hAnsi="宋体"/>
                <w:sz w:val="24"/>
                <w:szCs w:val="24"/>
              </w:rPr>
            </w:pPr>
          </w:p>
          <w:p>
            <w:pPr>
              <w:spacing w:line="560" w:lineRule="exact"/>
              <w:rPr>
                <w:rFonts w:ascii="宋体" w:hAnsi="宋体"/>
                <w:sz w:val="24"/>
                <w:szCs w:val="24"/>
              </w:rPr>
            </w:pPr>
          </w:p>
        </w:tc>
      </w:tr>
    </w:tbl>
    <w:tbl>
      <w:tblPr>
        <w:tblStyle w:val="9"/>
        <w:tblpPr w:leftFromText="180" w:rightFromText="180" w:vertAnchor="text" w:horzAnchor="page" w:tblpX="5970" w:tblpY="621"/>
        <w:tblW w:w="44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6" w:hRule="atLeast"/>
        </w:trPr>
        <w:tc>
          <w:tcPr>
            <w:tcW w:w="4460" w:type="dxa"/>
            <w:tcBorders>
              <w:top w:val="dotDotDash" w:color="auto" w:sz="4" w:space="0"/>
              <w:left w:val="dotDotDash" w:color="auto" w:sz="4" w:space="0"/>
              <w:bottom w:val="dotDotDash" w:color="auto" w:sz="4" w:space="0"/>
              <w:right w:val="dotDotDash" w:color="auto" w:sz="4" w:space="0"/>
            </w:tcBorders>
            <w:noWrap/>
          </w:tcPr>
          <w:p>
            <w:pPr>
              <w:spacing w:line="56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授权代理人身份证复印件</w:t>
            </w:r>
          </w:p>
          <w:p>
            <w:pPr>
              <w:spacing w:line="560" w:lineRule="exact"/>
              <w:rPr>
                <w:rFonts w:ascii="宋体" w:hAnsi="宋体"/>
                <w:sz w:val="24"/>
                <w:szCs w:val="24"/>
              </w:rPr>
            </w:pPr>
          </w:p>
          <w:p>
            <w:pPr>
              <w:spacing w:line="560" w:lineRule="exact"/>
              <w:rPr>
                <w:rFonts w:ascii="宋体" w:hAnsi="宋体"/>
                <w:sz w:val="24"/>
                <w:szCs w:val="24"/>
              </w:rPr>
            </w:pPr>
          </w:p>
          <w:p>
            <w:pPr>
              <w:spacing w:line="560" w:lineRule="exact"/>
              <w:rPr>
                <w:rFonts w:ascii="宋体" w:hAnsi="宋体"/>
                <w:sz w:val="24"/>
                <w:szCs w:val="24"/>
              </w:rPr>
            </w:pPr>
          </w:p>
          <w:p>
            <w:pPr>
              <w:spacing w:line="560" w:lineRule="exact"/>
              <w:rPr>
                <w:rFonts w:ascii="宋体" w:hAnsi="宋体"/>
                <w:sz w:val="24"/>
                <w:szCs w:val="24"/>
              </w:rPr>
            </w:pPr>
          </w:p>
        </w:tc>
      </w:tr>
    </w:tbl>
    <w:p/>
    <w:p/>
    <w:p/>
    <w:p/>
    <w:sectPr>
      <w:pgSz w:w="11906" w:h="16838"/>
      <w:pgMar w:top="2098" w:right="1474" w:bottom="198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0C2B7"/>
    <w:multiLevelType w:val="singleLevel"/>
    <w:tmpl w:val="D160C2B7"/>
    <w:lvl w:ilvl="0" w:tentative="0">
      <w:start w:val="1"/>
      <w:numFmt w:val="decimal"/>
      <w:lvlText w:val="%1."/>
      <w:lvlJc w:val="left"/>
      <w:pPr>
        <w:tabs>
          <w:tab w:val="left" w:pos="312"/>
        </w:tabs>
      </w:pPr>
    </w:lvl>
  </w:abstractNum>
  <w:abstractNum w:abstractNumId="1">
    <w:nsid w:val="F40AF9B0"/>
    <w:multiLevelType w:val="singleLevel"/>
    <w:tmpl w:val="F40AF9B0"/>
    <w:lvl w:ilvl="0" w:tentative="0">
      <w:start w:val="1"/>
      <w:numFmt w:val="chineseCounting"/>
      <w:suff w:val="nothing"/>
      <w:lvlText w:val="%1、"/>
      <w:lvlJc w:val="left"/>
      <w:rPr>
        <w:rFonts w:hint="eastAsia"/>
      </w:rPr>
    </w:lvl>
  </w:abstractNum>
  <w:abstractNum w:abstractNumId="2">
    <w:nsid w:val="4B390B97"/>
    <w:multiLevelType w:val="singleLevel"/>
    <w:tmpl w:val="4B390B97"/>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E1EE1"/>
    <w:rsid w:val="036C5C5C"/>
    <w:rsid w:val="08741683"/>
    <w:rsid w:val="0B9D4CB5"/>
    <w:rsid w:val="0DE40111"/>
    <w:rsid w:val="0EC3237B"/>
    <w:rsid w:val="26FB7045"/>
    <w:rsid w:val="29821E13"/>
    <w:rsid w:val="2DE36A81"/>
    <w:rsid w:val="31480788"/>
    <w:rsid w:val="336E1EE1"/>
    <w:rsid w:val="3C127CC8"/>
    <w:rsid w:val="473550FF"/>
    <w:rsid w:val="4828775E"/>
    <w:rsid w:val="56A25A40"/>
    <w:rsid w:val="58EF55F0"/>
    <w:rsid w:val="614676D0"/>
    <w:rsid w:val="67DE32EF"/>
    <w:rsid w:val="6A9771E2"/>
    <w:rsid w:val="6FFB1CCF"/>
    <w:rsid w:val="73527862"/>
    <w:rsid w:val="7A116CE6"/>
    <w:rsid w:val="7C974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6"/>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pPr>
    <w:rPr>
      <w:sz w:val="21"/>
    </w:rPr>
  </w:style>
  <w:style w:type="paragraph" w:styleId="3">
    <w:name w:val="Body Text Indent"/>
    <w:basedOn w:val="1"/>
    <w:next w:val="4"/>
    <w:qFormat/>
    <w:uiPriority w:val="0"/>
    <w:pPr>
      <w:spacing w:line="700" w:lineRule="exact"/>
      <w:ind w:left="960"/>
    </w:pPr>
    <w:rPr>
      <w:sz w:val="44"/>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ind w:firstLine="420"/>
    </w:pPr>
  </w:style>
  <w:style w:type="paragraph" w:styleId="7">
    <w:name w:val="Body Text"/>
    <w:basedOn w:val="1"/>
    <w:unhideWhenUsed/>
    <w:qFormat/>
    <w:uiPriority w:val="99"/>
    <w:pPr>
      <w:spacing w:after="120"/>
    </w:pPr>
  </w:style>
  <w:style w:type="paragraph" w:styleId="8">
    <w:name w:val="Title"/>
    <w:basedOn w:val="7"/>
    <w:next w:val="1"/>
    <w:qFormat/>
    <w:uiPriority w:val="0"/>
    <w:pPr>
      <w:spacing w:line="560" w:lineRule="exact"/>
      <w:jc w:val="center"/>
    </w:pPr>
    <w:rPr>
      <w:rFonts w:ascii="方正小标宋_GBK" w:eastAsia="方正小标宋_GBK"/>
      <w:color w:val="000000"/>
      <w:sz w:val="44"/>
      <w:szCs w:val="4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2022-01-20T00:33:00Z</dcterms:created>
  <dc:creator>石丹丹啊</dc:creator>
  <cp:lastModifiedBy>石丹丹啊</cp:lastModifiedBy>
  <dcterms:modified xsi:type="dcterms:W3CDTF">2022-01-26T03:35:16Z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0691642FAA7F404FB0602F0A598DAA7F</vt:lpwstr>
  </property>
</Properties>
</file>